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Warunki zamówień indywidualnych i usług</w:t>
      </w:r>
    </w:p>
    <w:p>
      <w:r>
        <w:rPr>
          <w:sz w:val="18"/>
        </w:rPr>
        <w:t>speedfloor.pl</w:t>
      </w:r>
    </w:p>
    <w:p>
      <w:r>
        <w:t>Warunki dotyczą zamówień wykonywanych według specyfikacji Klienta oraz uzgadnianych indywidualnie prac, w tym montażu, czyszczenia, zabezpieczania i renowacji podłóg. Konkretna oferta lub umowa określa zakres, cenę, technologię i harmonogram.</w:t>
      </w:r>
    </w:p>
    <w:p>
      <w:pPr>
        <w:pStyle w:val="Heading1"/>
      </w:pPr>
      <w:r>
        <w:t>1  Wykonawca i pierwszeństwo ustaleń</w:t>
      </w:r>
    </w:p>
    <w:p>
      <w:r>
        <w:t>SPEEDFLOOR.PL spółka z ograniczoną odpowiedzialnością, ul. Mikołaja Reja 110/M46, 55-010 Smardzów, KRS 0000850054, NIP 8971880887, REGON 386522498, kapitał zakładowy 5 000 zł.</w:t>
      </w:r>
    </w:p>
    <w:p>
      <w:r>
        <w:t>Kontakt: biuro@speedfloor.pl, tel. +48 664 483 453 lub +48 537 509 156. Adres korespondencji, reklamacji i zwrotów: ul. Mikołaja Reja 110/M46, 55-010 Smardzów.</w:t>
      </w:r>
    </w:p>
    <w:p>
      <w:r>
        <w:t>Warunki udostępniamy przed zawarciem umowy. Oferta i indywidualne uzgodnienia mają pierwszeństwo w zakresie konkretnego zlecenia, z zachowaniem bezwzględnie obowiązujących praw Klienta. Dla konsumenta i Przedsiębiorcy chronionego nie stosuje się postanowień mniej korzystnych niż właściwe przepisy.</w:t>
      </w:r>
    </w:p>
    <w:p>
      <w:pPr>
        <w:pStyle w:val="Heading1"/>
      </w:pPr>
      <w:r>
        <w:t>2  Oferta i zakres prac</w:t>
      </w:r>
    </w:p>
    <w:p>
      <w:r>
        <w:t>Zapytanie, zdjęcia, rozmowa i wynik konfiguratora służą przygotowaniu propozycji. Nie zamawiasz odpłatnej usługi przez samo przesłanie zapytania. Umowę zawieramy po przekazaniu pełnej oferty na trwałym nośniku i jej wyraźnej akceptacji z obowiązkiem zapłaty.</w:t>
      </w:r>
    </w:p>
    <w:p>
      <w:r>
        <w:t>Przed akceptacją uzgadniamy: miejsce, powierzchnię i stan podłogi, zakres przygotowania podłoża, produkty i technologię, kolor lub wzór, oczekiwany rezultat, prace wyłączone z ceny, cenę brutto lub sposób jej obliczenia, dojazd i transport, terminy, czas wyłączenia obiektu z użytkowania, zasady płatności, zadatek, odbiór oraz ewentualną gwarancję.</w:t>
      </w:r>
    </w:p>
    <w:p>
      <w:r>
        <w:t>Specyfikację indywidualnego Towaru zatwierdza Klient przed produkcją. Zmiana specyfikacji lub dodatkowe prace wymagają ustalenia wpływu na cenę i termin oraz wyraźnej akceptacji. Nie wykonujemy odpłatnych dodatków na podstawie samego milczenia Klienta.</w:t>
      </w:r>
    </w:p>
    <w:p>
      <w:r>
        <w:t>Jeżeli ujawnią się niewidoczne wcześniej wady podłoża lub okoliczności zagrażające prawidłowej realizacji, dokumentujemy je i uzgadniamy dalsze postępowanie. Możemy wstrzymać czynności, których kontynuowanie byłoby niebezpieczne lub sprzeczne z technologią, informując o przyczynie. Nie oznacza to dowolnego prawa zmiany wynagrodzenia.</w:t>
      </w:r>
    </w:p>
    <w:p>
      <w:pPr>
        <w:pStyle w:val="Heading1"/>
      </w:pPr>
      <w:r>
        <w:t>3  Wycena i ocena techniczna</w:t>
      </w:r>
    </w:p>
    <w:p>
      <w:r>
        <w:t>Wstępna konsultacja i przygotowanie propozycji na podstawie przekazanych informacji są bezpłatne. Nie są równoznaczne ze szczegółową ekspertyzą podłoża ani z zamówieniem odpłatnej usługi. Bezpłatna ocena przewidziana w programie gwarancyjnym pozostaje odrębna od szczegółowej odpłatnej oceny technicznej.</w:t>
      </w:r>
    </w:p>
    <w:p>
      <w:r>
        <w:t>Jeżeli potrzebna jest szczegółowa ocena stanu technicznego podłogi na miejscu, koszt wynosi 500 zł netto, tj. 615 zł brutto przy VAT 23%, oraz 1,50 zł netto za kilometr dojazdu liczony w obie strony. Przy VAT 23% dojazd oblicza się jako 1,50 zł × łączna liczba kilometrów × 1,23; całość zaokrągla się do groszy. Trasę liczy się od siedziby Spółki do miejsca oceny i z powrotem, chyba że strony wcześniej uzgodnią korzystniejszy sposób rozliczenia.</w:t>
      </w:r>
    </w:p>
    <w:p>
      <w:r>
        <w:t>Przed zamówieniem Klient otrzymuje zakres oceny, liczbę kilometrów i pełną kwotę brutto do akceptacji. Nie naliczamy niezapowiedzianych opłat. Jeżeli dojdzie do realizacji prac lub dostawy materiałów objętych wyceną, całą uiszczoną opłatę za ocenę wraz z uzgodnionym dojazdem zaliczamy na poczet tej realizacji. Inne warunki można uzgodnić indywidualnie przed zleceniem oceny.</w:t>
      </w:r>
    </w:p>
    <w:p>
      <w:pPr>
        <w:pStyle w:val="Heading1"/>
      </w:pPr>
      <w:r>
        <w:t>4  Zadatek i harmonogram płatności</w:t>
      </w:r>
    </w:p>
    <w:p>
      <w:r>
        <w:t>Przed rezerwacją realizacji strony mogą wyraźnie uzgodnić zadatek w rozumieniu art. 394 Kodeksu cywilnego. Oferta określa jego kwotę, termin wpłaty i pozostałe płatności. Samo nazwanie każdej przedpłaty zadatkiem nie zastępuje porozumienia stron. Wpłata określona jako zaliczka nie podlega automatycznemu przepadkowi.</w:t>
      </w:r>
    </w:p>
    <w:p>
      <w:r>
        <w:t>W razie niewykonania umowy z przyczyn obciążających jedną ze stron druga strona może odstąpić bez dodatkowego terminu i zachować otrzymany zadatek, a jeśli sama go dała — żądać sumy dwukrotnie wyższej, zgodnie z art. 394. Przy wykonaniu umowy zadatek zalicza się na świadczenie, a gdy zaliczenie jest niemożliwe — zwraca.</w:t>
      </w:r>
    </w:p>
    <w:p>
      <w:r>
        <w:t>Przy rozwiązaniu umowy zadatek podlega zwrotowi bez obowiązku podwójnej zapłaty. Tak samo postępuje się, gdy niewykonanie wynika z przyczyn, za które żadna strona nie odpowiada albo odpowiadają obie. Zadatek nie przepada automatycznie przy każdej rezygnacji ani nie wyłącza ustawowego prawa odstąpienia.</w:t>
      </w:r>
    </w:p>
    <w:p>
      <w:r>
        <w:t>Ustawowe odstąpienie konsumenta lub Przedsiębiorcy chronionego rozliczamy na zasadach ustawy o prawach konsumenta, z uwzględnieniem jedynie należnego zgodnie z nią wynagrodzenia za usługę rozpoczętą na wyraźne żądanie. Nie zatrzymujemy zadatku jako kary za skorzystanie z tego prawa.</w:t>
      </w:r>
    </w:p>
    <w:p>
      <w:r>
        <w:t>Pozostałe raty wynikają z oferty i rzeczywiście wykonanych etapów. B2B może otrzymać uzgodniony termin 7, 14 lub 21 dni. Nie obowiązuje zasada, że cała cena lub każda wykonana część jest należna bez względu na przyczynę i podstawę odstąpienia; rozliczenie zależy od przepisów i okoliczności.</w:t>
      </w:r>
    </w:p>
    <w:p>
      <w:pPr>
        <w:pStyle w:val="Heading1"/>
      </w:pPr>
      <w:r>
        <w:t>5  Przygotowanie miejsca i odbiór</w:t>
      </w:r>
    </w:p>
    <w:p>
      <w:r>
        <w:t>Klient zapewnia uzgodniony dostęp do obiektu i warunki konieczne do technologii, np. opróżnienie powierzchni, dostęp do mediów lub odpowiednią temperaturę, wyłącznie w zakresie opisanym w ofercie. Wykonawca przekazuje wymagania przed zawarciem umowy i odpowiada za profesjonalną ocenę warunków realizacji.</w:t>
      </w:r>
    </w:p>
    <w:p>
      <w:r>
        <w:t>Daty rozpoczęcia i zakończenia oraz warunki przesunięcia określa oferta. W razie przeszkody strony dokumentują przyczynę i ustalają możliwy nowy termin. Każda strona zachowuje uprawnienia wynikające z niewykonania lub opóźnienia zgodnie z prawem.</w:t>
      </w:r>
    </w:p>
    <w:p>
      <w:r>
        <w:t>Po zakończeniu strony sporządzają protokół opisujący zakres, stan, zastrzeżenia i ewentualny termin poprawek. Nie ustanawia się fikcji bezusterkowego odbioru przez samo milczenie. Klient otrzymuje instrukcję użytkowania, czyszczenia, pielęgnacji i wymaganych przerw technologicznych. Odbiór nie wyłącza roszczeń za wady ukryte.</w:t>
      </w:r>
    </w:p>
    <w:p>
      <w:pPr>
        <w:pStyle w:val="Heading1"/>
      </w:pPr>
      <w:r>
        <w:t>6  Odstąpienie i rozpoczęcie przed terminem</w:t>
      </w:r>
    </w:p>
    <w:p>
      <w:r>
        <w:t>Konsument i Przedsiębiorca chroniony mają co do zasady 14 dni na odstąpienie od umowy zawartej na odległość lub poza lokalem, a w ustawowym przypadku nieumówionej wizyty w miejscu zamieszkania lub wycieczki termin wynosi 30 dni. Dla samej usługi termin biegnie od zawarcia umowy. Dla umowy obejmującej przeniesienie własności Towaru i usługę stosuje się odpowiednie przepisy dotyczące Towarów.</w:t>
      </w:r>
    </w:p>
    <w:p>
      <w:r>
        <w:t>Zwykle planujemy realizację po upływie terminu odstąpienia. Wcześniejszy termin sam w sobie nie jest wyraźnym żądaniem wcześniejszego rozpoczęcia. Potrzebne jest osobne oświadczenie Klienta oraz wymagane pouczenie; przy umowie poza lokalem żądanie utrwala się na trwałym nośniku.</w:t>
      </w:r>
    </w:p>
    <w:p>
      <w:r>
        <w:t>Jeżeli Klient skutecznie zażąda wcześniejszego rozpoczęcia, a następnie odstąpi przed pełnym wykonaniem, ponosi jedynie proporcjonalne koszty świadczenia zgodnie z art. 35. Nie obciążamy kosztami w przypadkach z art. 36. Pełne wykonanie odpłatnej usługi powoduje utratę prawa tylko po wyraźnej uprzedniej zgodzie oraz poinformowaniu i przyjęciu do wiadomości tego skutku.</w:t>
      </w:r>
    </w:p>
    <w:p>
      <w:r>
        <w:t>Prawo odstąpienia może być wyłączone dla rzeczy nieprefabrykowanej wykonywanej według specyfikacji lub zindywidualizowanych potrzeb Klienta oraz w innych ustawowych przypadkach. Nie obejmuje to automatycznie wszystkich indywidualnych wycen i standardowych Towarów sprowadzanych na zamówienie. Szczegółowe pouczenie i formularz przekazujemy z dokumentacją umowy.</w:t>
      </w:r>
    </w:p>
    <w:p>
      <w:pPr>
        <w:pStyle w:val="Heading1"/>
      </w:pPr>
      <w:r>
        <w:t>7  Próbki</w:t>
      </w:r>
    </w:p>
    <w:p>
      <w:r>
        <w:t>Nieodpłatnie udostępniamy próbki PVC typu Simple o wymiarach 8 × 8 cm, maksymalnie 5 sztuk; próbki PP w formacie 1/4 płytki, maksymalnie 3 sztuki; próbki SBR/EPDM typu Simple, maksymalnie 3 sztuki. Próbka PowerGame ma postać płytki i jest dobierana do zgłoszenia w ramach limitu próbek PP.</w:t>
      </w:r>
    </w:p>
    <w:p>
      <w:r>
        <w:t>Dobór wariantów, dostępność i termin wysłania potwierdzamy przy zgłoszeniu. Jeżeli wysyłka ma być odpłatna, jej koszt podajemy i uzyskujemy akceptację przed przyjęciem zlecenia; samo zamówienie bezpłatnych próbek nie upoważnia do naliczania kosztów. Próbki nie zobowiązują do zakupu ani do zgody marketingowej.</w:t>
      </w:r>
    </w:p>
    <w:p>
      <w:r>
        <w:t>Pełne płytki poza zakresem próbek są dostępne odpłatnie na zasadach zwykłego zakupu. Na życzenie możemy zamiast sprzedaży uzgodnić odpłatne przesłanie płytki do czasowego sprawdzenia za kaucją równą jej wartości. Taki wariant wymaga wcześniejszego porozumienia określającego czas udostępnienia, koszt transportu, sposób zwrotu i rozliczenie kaucji; bez porozumienia stosuje się zwykłą sprzedaż. Przy ocenie zmniejszenia wartości oraz praw klienta stosuje się właściwe przepisy.</w:t>
      </w:r>
    </w:p>
    <w:p>
      <w:pPr>
        <w:pStyle w:val="Heading1"/>
      </w:pPr>
      <w:r>
        <w:t>8  Gwarancje i reklamacje</w:t>
      </w:r>
    </w:p>
    <w:p>
      <w:r>
        <w:t>SPEEDFLOOR.PL jest Autoryzowanym Wykonawcą Dr. Schutz. Dla zakwalifikowanej realizacji możliwe jest zarejestrowanie ochrony udzielanej przez Dr. Schutz Polska sp. z o.o. Klient otrzymuje certyfikat, pełne warunki i instrukcję pielęgnacji. Program Roczna Trwałość przewiduje 12 miesięcy ochrony; działanie serwisowe po 10 miesiącach służy kontynuacji po tym okresie. Pozostałe okresy wynikają z indywidualnego certyfikatu. Kontynuacja wieloletnia wymaga czynności przewidzianych programem i nie jest bezwarunkową gwarancją na 20 lub 30 lat.</w:t>
      </w:r>
    </w:p>
    <w:p>
      <w:r>
        <w:t>Pojedynczy przegląd serwisowy kosztuje 300 zł netto, tj. 369 zł brutto przy VAT 23%. Renowacja, materiały i ewentualny dojazd są odrębnie wyceniane przed zamówieniem. Obowiązki gwarancyjne nie ograniczają ustawowych roszczeń. Reklamacje kieruj na biuro@speedfloor.pl lub adres Spółki; konsument otrzymuje odpowiedź w ciągu 14 dni na trwałym nośniku.</w:t>
      </w:r>
    </w:p>
    <w:p>
      <w:r>
        <w:t>Szczegóły odpowiedzialności i obsługi reklamacji określa dokument „Reklamacje i gwarancje”.</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SPEEDFLOOR.PL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Warunki zamówień indywidualnych i usług</dc:title>
  <dc:subject/>
  <dc:creator>SPEEDFLOOR.PL sp. z o.o.</dc:creator>
  <cp:keywords/>
  <dc:description>generated by python-docx</dc:description>
  <cp:lastModifiedBy/>
  <cp:revision>1</cp:revision>
  <dcterms:created xsi:type="dcterms:W3CDTF">2013-12-23T23:15:00Z</dcterms:created>
  <dcterms:modified xsi:type="dcterms:W3CDTF">2013-12-23T23:15:00Z</dcterms:modified>
  <cp:category/>
</cp:coreProperties>
</file>